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870" w:type="dxa"/>
        <w:tblInd w:w="4569" w:type="dxa"/>
        <w:tblLayout w:type="fixed"/>
        <w:tblLook w:val="01E0" w:firstRow="1" w:lastRow="1" w:firstColumn="1" w:lastColumn="1" w:noHBand="0" w:noVBand="0"/>
      </w:tblPr>
      <w:tblGrid>
        <w:gridCol w:w="4870"/>
      </w:tblGrid>
      <w:tr w:rsidR="002659B0">
        <w:trPr>
          <w:trHeight w:val="2268"/>
        </w:trPr>
        <w:tc>
          <w:tcPr>
            <w:tcW w:w="4870" w:type="dxa"/>
          </w:tcPr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  <w:r>
              <w:rPr>
                <w:rFonts w:ascii="PT Astra Serif" w:hAnsi="PT Astra Serif"/>
                <w:sz w:val="24"/>
                <w:lang w:val="ru-RU" w:eastAsia="ru-RU"/>
              </w:rPr>
              <w:t>УТВЕРЖДАЮ</w:t>
            </w:r>
          </w:p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  <w:proofErr w:type="gramStart"/>
            <w:r>
              <w:rPr>
                <w:rFonts w:ascii="PT Astra Serif" w:hAnsi="PT Astra Serif"/>
                <w:sz w:val="24"/>
                <w:lang w:val="ru-RU" w:eastAsia="ru-RU"/>
              </w:rPr>
              <w:t>Исполняющий</w:t>
            </w:r>
            <w:proofErr w:type="gramEnd"/>
            <w:r>
              <w:rPr>
                <w:rFonts w:ascii="PT Astra Serif" w:hAnsi="PT Astra Serif"/>
                <w:sz w:val="24"/>
                <w:lang w:val="ru-RU" w:eastAsia="ru-RU"/>
              </w:rPr>
              <w:t xml:space="preserve"> обязанности</w:t>
            </w:r>
          </w:p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  <w:r>
              <w:rPr>
                <w:rFonts w:ascii="PT Astra Serif" w:hAnsi="PT Astra Serif"/>
                <w:sz w:val="24"/>
                <w:lang w:val="ru-RU" w:eastAsia="ru-RU"/>
              </w:rPr>
              <w:t>главы города Югорска</w:t>
            </w:r>
          </w:p>
          <w:p w:rsidR="002659B0" w:rsidRDefault="002659B0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</w:p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lang w:val="ru-RU" w:eastAsia="ru-RU"/>
              </w:rPr>
            </w:pPr>
            <w:r>
              <w:rPr>
                <w:rFonts w:ascii="PT Astra Serif" w:hAnsi="PT Astra Serif"/>
                <w:sz w:val="24"/>
                <w:lang w:val="ru-RU" w:eastAsia="ru-RU"/>
              </w:rPr>
              <w:t xml:space="preserve">________________________Л.И. </w:t>
            </w:r>
            <w:proofErr w:type="spellStart"/>
            <w:r>
              <w:rPr>
                <w:rFonts w:ascii="PT Astra Serif" w:hAnsi="PT Astra Serif"/>
                <w:sz w:val="24"/>
                <w:lang w:val="ru-RU" w:eastAsia="ru-RU"/>
              </w:rPr>
              <w:t>Носкова</w:t>
            </w:r>
            <w:proofErr w:type="spellEnd"/>
          </w:p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 w:line="276" w:lineRule="auto"/>
              <w:jc w:val="right"/>
              <w:rPr>
                <w:rFonts w:ascii="PT Astra Serif" w:hAnsi="PT Astra Serif"/>
                <w:sz w:val="24"/>
                <w:szCs w:val="26"/>
                <w:highlight w:val="yellow"/>
                <w:lang w:val="ru-RU"/>
              </w:rPr>
            </w:pPr>
            <w:r>
              <w:rPr>
                <w:rFonts w:ascii="PT Astra Serif" w:hAnsi="PT Astra Serif"/>
                <w:sz w:val="24"/>
                <w:lang w:val="ru-RU" w:eastAsia="ru-RU"/>
              </w:rPr>
              <w:t xml:space="preserve"> «_____»______________ 2026 г.</w:t>
            </w:r>
          </w:p>
        </w:tc>
      </w:tr>
    </w:tbl>
    <w:p w:rsidR="002659B0" w:rsidRDefault="002659B0">
      <w:pPr>
        <w:spacing w:beforeAutospacing="0" w:afterAutospacing="0"/>
        <w:jc w:val="right"/>
        <w:rPr>
          <w:rFonts w:ascii="PT Astra Serif" w:hAnsi="PT Astra Serif"/>
          <w:b/>
          <w:bCs/>
          <w:color w:val="000000"/>
          <w:sz w:val="28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2659B0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E74862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ИЗВЕЩЕНИЕ </w:t>
      </w:r>
    </w:p>
    <w:p w:rsidR="002659B0" w:rsidRDefault="00E74862">
      <w:pPr>
        <w:spacing w:beforeAutospacing="0" w:afterAutospacing="0"/>
        <w:jc w:val="center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об осуществлен</w:t>
      </w:r>
      <w:proofErr w:type="gramStart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ии ау</w:t>
      </w:r>
      <w:proofErr w:type="gramEnd"/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кциона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</w:t>
      </w:r>
    </w:p>
    <w:p w:rsidR="002659B0" w:rsidRDefault="00E74862">
      <w:pPr>
        <w:spacing w:beforeAutospacing="0" w:afterAutospacing="0"/>
        <w:jc w:val="center"/>
        <w:rPr>
          <w:rFonts w:ascii="PT Astra Serif" w:hAnsi="PT Astra Serif"/>
          <w:b/>
          <w:bCs/>
          <w:vertAlign w:val="superscript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 xml:space="preserve">на </w:t>
      </w:r>
      <w:r>
        <w:rPr>
          <w:rFonts w:ascii="PT Astra Serif" w:hAnsi="PT Astra Serif"/>
          <w:b/>
          <w:bCs/>
          <w:sz w:val="24"/>
          <w:u w:val="single"/>
          <w:lang w:val="ru-RU"/>
        </w:rPr>
        <w:t>оказание услуг по получению обновлений и техническому сопровожд</w:t>
      </w:r>
      <w:r>
        <w:rPr>
          <w:rFonts w:ascii="PT Astra Serif" w:hAnsi="PT Astra Serif"/>
          <w:b/>
          <w:bCs/>
          <w:sz w:val="24"/>
          <w:u w:val="single"/>
          <w:lang w:val="ru-RU"/>
        </w:rPr>
        <w:t>ению используемого программного обеспечения «КИТ-Журнал»</w:t>
      </w:r>
      <w:r>
        <w:rPr>
          <w:rFonts w:ascii="PT Astra Serif" w:hAnsi="PT Astra Serif"/>
          <w:b/>
          <w:bCs/>
          <w:lang w:val="ru-RU"/>
        </w:rPr>
        <w:br/>
      </w:r>
      <w:r>
        <w:rPr>
          <w:rFonts w:ascii="PT Astra Serif" w:hAnsi="PT Astra Serif"/>
          <w:b/>
          <w:bCs/>
          <w:vertAlign w:val="superscript"/>
          <w:lang w:val="ru-RU"/>
        </w:rPr>
        <w:t xml:space="preserve"> (</w:t>
      </w:r>
      <w:r>
        <w:rPr>
          <w:rFonts w:ascii="PT Astra Serif" w:hAnsi="PT Astra Serif"/>
          <w:b/>
          <w:bCs/>
          <w:i/>
          <w:vertAlign w:val="superscript"/>
          <w:lang w:val="ru-RU"/>
        </w:rPr>
        <w:t>указать предмет контракта</w:t>
      </w:r>
      <w:r>
        <w:rPr>
          <w:rFonts w:ascii="PT Astra Serif" w:hAnsi="PT Astra Serif"/>
          <w:b/>
          <w:bCs/>
          <w:vertAlign w:val="superscript"/>
          <w:lang w:val="ru-RU"/>
        </w:rPr>
        <w:t>)</w:t>
      </w:r>
    </w:p>
    <w:p w:rsidR="002659B0" w:rsidRDefault="00E74862">
      <w:pPr>
        <w:spacing w:beforeAutospacing="0" w:afterAutospacing="0"/>
        <w:rPr>
          <w:rFonts w:ascii="PT Astra Serif" w:hAnsi="PT Astra Serif"/>
          <w:b/>
          <w:bCs/>
          <w:vertAlign w:val="superscript"/>
          <w:lang w:val="ru-RU"/>
        </w:rPr>
      </w:pPr>
      <w:r w:rsidRPr="001924A9">
        <w:rPr>
          <w:lang w:val="ru-RU"/>
        </w:rPr>
        <w:br w:type="page"/>
      </w:r>
    </w:p>
    <w:tbl>
      <w:tblPr>
        <w:tblW w:w="10407" w:type="dxa"/>
        <w:tblInd w:w="-4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26"/>
        <w:gridCol w:w="3259"/>
        <w:gridCol w:w="6522"/>
      </w:tblGrid>
      <w:tr w:rsidR="002659B0">
        <w:trPr>
          <w:trHeight w:val="71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59B0" w:rsidRDefault="00E74862">
            <w:pPr>
              <w:pageBreakBefore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№ пункта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pStyle w:val="12"/>
              <w:keepNext/>
              <w:keepLines/>
              <w:suppressLineNumbers/>
              <w:spacing w:after="0" w:line="240" w:lineRule="auto"/>
              <w:jc w:val="center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szCs w:val="22"/>
              </w:rPr>
              <w:t>Информация</w:t>
            </w:r>
          </w:p>
        </w:tc>
      </w:tr>
      <w:tr w:rsidR="002659B0" w:rsidRPr="001924A9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Наименование:</w:t>
            </w:r>
            <w:r>
              <w:rPr>
                <w:rFonts w:ascii="PT Astra Serif" w:hAnsi="PT Astra Serif"/>
                <w:szCs w:val="22"/>
              </w:rPr>
              <w:t xml:space="preserve"> Администрация </w:t>
            </w:r>
            <w:proofErr w:type="spellStart"/>
            <w:r>
              <w:rPr>
                <w:rFonts w:ascii="PT Astra Serif" w:hAnsi="PT Astra Serif"/>
                <w:szCs w:val="22"/>
              </w:rPr>
              <w:t>г</w:t>
            </w:r>
            <w:proofErr w:type="gramStart"/>
            <w:r>
              <w:rPr>
                <w:rFonts w:ascii="PT Astra Serif" w:hAnsi="PT Astra Serif"/>
                <w:szCs w:val="22"/>
              </w:rPr>
              <w:t>.Ю</w:t>
            </w:r>
            <w:proofErr w:type="gramEnd"/>
            <w:r>
              <w:rPr>
                <w:rFonts w:ascii="PT Astra Serif" w:hAnsi="PT Astra Serif"/>
                <w:szCs w:val="22"/>
              </w:rPr>
              <w:t>горска</w:t>
            </w:r>
            <w:proofErr w:type="spellEnd"/>
            <w:r>
              <w:rPr>
                <w:rFonts w:ascii="PT Astra Serif" w:hAnsi="PT Astra Serif"/>
                <w:szCs w:val="22"/>
              </w:rPr>
              <w:t>.</w:t>
            </w:r>
          </w:p>
          <w:p w:rsidR="002659B0" w:rsidRDefault="00E74862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Место нахождения</w:t>
            </w:r>
            <w:r>
              <w:rPr>
                <w:rFonts w:ascii="PT Astra Serif" w:hAnsi="PT Astra Serif"/>
                <w:szCs w:val="22"/>
              </w:rPr>
              <w:t>: 628260, Ханты-Мансийский автономный округ – Югра, г. Югорск, ул.40</w:t>
            </w:r>
            <w:r>
              <w:rPr>
                <w:rFonts w:ascii="PT Astra Serif" w:hAnsi="PT Astra Serif"/>
                <w:szCs w:val="22"/>
              </w:rPr>
              <w:t xml:space="preserve"> лет Победы, д.11</w:t>
            </w:r>
          </w:p>
          <w:p w:rsidR="002659B0" w:rsidRDefault="00E74862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Почтовый адрес</w:t>
            </w:r>
            <w:r>
              <w:rPr>
                <w:rFonts w:ascii="PT Astra Serif" w:hAnsi="PT Astra Serif"/>
                <w:szCs w:val="22"/>
              </w:rPr>
              <w:t>: 628260, Ханты-Мансийский автономный округ – Югра, г. Югорск, ул.40 лет Победы, д.11</w:t>
            </w:r>
          </w:p>
          <w:p w:rsidR="002659B0" w:rsidRDefault="00E74862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Адрес электронной почты</w:t>
            </w:r>
            <w:r>
              <w:rPr>
                <w:rFonts w:ascii="PT Astra Serif" w:hAnsi="PT Astra Serif"/>
                <w:szCs w:val="22"/>
              </w:rPr>
              <w:t>: inform@ugorsk.ru.</w:t>
            </w:r>
          </w:p>
          <w:p w:rsidR="002659B0" w:rsidRDefault="00E74862">
            <w:pPr>
              <w:pStyle w:val="12"/>
              <w:keepNext/>
              <w:keepLines/>
              <w:suppressLineNumbers/>
              <w:spacing w:after="0" w:line="240" w:lineRule="auto"/>
              <w:jc w:val="both"/>
              <w:rPr>
                <w:rFonts w:ascii="PT Astra Serif" w:hAnsi="PT Astra Serif"/>
                <w:szCs w:val="22"/>
              </w:rPr>
            </w:pPr>
            <w:r>
              <w:rPr>
                <w:rFonts w:ascii="PT Astra Serif" w:hAnsi="PT Astra Serif"/>
                <w:b/>
                <w:szCs w:val="22"/>
              </w:rPr>
              <w:t>Номер контрактного телефона</w:t>
            </w:r>
            <w:r>
              <w:rPr>
                <w:rFonts w:ascii="PT Astra Serif" w:hAnsi="PT Astra Serif"/>
                <w:szCs w:val="22"/>
              </w:rPr>
              <w:t>: 8 (34675) 7-70-00, доб.240.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lang w:val="ru-RU"/>
              </w:rPr>
              <w:t>: специа</w:t>
            </w:r>
            <w:r>
              <w:rPr>
                <w:rFonts w:ascii="PT Astra Serif" w:hAnsi="PT Astra Serif"/>
                <w:sz w:val="24"/>
                <w:lang w:val="ru-RU"/>
              </w:rPr>
              <w:t xml:space="preserve">лист-эксперт управления информационных технологий </w:t>
            </w:r>
            <w:proofErr w:type="spellStart"/>
            <w:r>
              <w:rPr>
                <w:rFonts w:ascii="PT Astra Serif" w:hAnsi="PT Astra Serif"/>
                <w:sz w:val="24"/>
                <w:lang w:val="ru-RU"/>
              </w:rPr>
              <w:t>Дергилев</w:t>
            </w:r>
            <w:proofErr w:type="spellEnd"/>
            <w:r>
              <w:rPr>
                <w:rFonts w:ascii="PT Astra Serif" w:hAnsi="PT Astra Serif"/>
                <w:sz w:val="24"/>
                <w:lang w:val="ru-RU"/>
              </w:rPr>
              <w:t xml:space="preserve"> Олег Владимирович.</w:t>
            </w:r>
          </w:p>
        </w:tc>
      </w:tr>
      <w:tr w:rsidR="002659B0" w:rsidRPr="001924A9">
        <w:trPr>
          <w:trHeight w:val="2343"/>
        </w:trPr>
        <w:tc>
          <w:tcPr>
            <w:tcW w:w="6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Уполномоченный</w:t>
            </w:r>
            <w:proofErr w:type="spellEnd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орган</w:t>
            </w:r>
            <w:proofErr w:type="spellEnd"/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Наименование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: Администрация города Югорска.</w:t>
            </w:r>
          </w:p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Место нахождения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г. Югорск, ул. 40 лет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Победы, 11,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каб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 310.</w:t>
            </w:r>
          </w:p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 xml:space="preserve">Почтовый адрес: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628260, Ханты - Мансийский автономный округ - Югра, Тюменская обл., 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г. Югорск, ул. 40 лет Победы, 11.</w:t>
            </w:r>
          </w:p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Телефон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(34675) 7-71-12, доб.217.</w:t>
            </w:r>
          </w:p>
          <w:p w:rsidR="002659B0" w:rsidRDefault="00E74862">
            <w:pPr>
              <w:keepNext/>
              <w:keepLines/>
              <w:widowControl w:val="0"/>
              <w:suppressLineNumbers/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Адрес электронной почты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omz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@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ugorsk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ru</w:t>
            </w:r>
            <w:proofErr w:type="spellEnd"/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sz w:val="24"/>
                <w:szCs w:val="24"/>
                <w:lang w:val="ru-RU"/>
              </w:rPr>
              <w:t>Ответственное должностное лицо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заместитель </w:t>
            </w:r>
            <w:proofErr w:type="gram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начальника отдела муниципальных закупок Департамента экономического развития</w:t>
            </w:r>
            <w:proofErr w:type="gramEnd"/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и проектного управления Абдуллаева Ольга Сергеевна.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99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Идентификационный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код</w:t>
            </w:r>
            <w:proofErr w:type="spellEnd"/>
            <w:r>
              <w:rPr>
                <w:rFonts w:ascii="PT Astra Serif" w:hAnsi="PT Astra Serif"/>
                <w:color w:val="0000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99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1924A9">
            <w:r w:rsidRPr="001924A9">
              <w:t>26 38622002368862201001 0143 001 5829 244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Способ определения поставщика (подрядчика, исполнителя)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Электронный аукцион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Адрес электронной площадки в информационно-телекоммуникационной сети Интернет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Акционерное общество «Сбербанк - Автоматизированная система торгов»</w:t>
            </w:r>
          </w:p>
          <w:p w:rsidR="002659B0" w:rsidRDefault="00E74862">
            <w:pPr>
              <w:spacing w:beforeAutospacing="0" w:afterAutospacing="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http://www.sberbank-ast.ru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объекта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закупки</w:t>
            </w:r>
            <w:proofErr w:type="spellEnd"/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>Аукцион в электронной форме среди субъектов малого</w:t>
            </w:r>
            <w:r>
              <w:rPr>
                <w:rFonts w:ascii="PT Astra Serif" w:hAnsi="PT Astra Serif"/>
                <w:bCs/>
                <w:color w:val="000099"/>
                <w:sz w:val="24"/>
                <w:szCs w:val="24"/>
                <w:lang w:val="ru-RU"/>
              </w:rPr>
              <w:t xml:space="preserve"> предпринимательства и социально ориентированных некоммерческих организаций на право заключения муниципального контракта на оказание услуг по </w:t>
            </w:r>
            <w:r>
              <w:rPr>
                <w:lang w:val="ru-RU"/>
              </w:rPr>
              <w:t>получению обновлений и техническому сопровождению используемого программного обеспечения «КИТ-Журнал»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при осуществлении закупки выполнения работы или оказания услуги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об объекте закупки отражена в Приложении 1 к извещению об осуществлении закупки «Описание объекта закупки»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Срок исполнения контракта (отдельных этапов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исполнения контр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акта, если проектом контракта предусмотрены такие этапы)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Срок оказания услуг – с момента заключения муниципального контракта по 31.10.2026.</w:t>
            </w:r>
          </w:p>
          <w:p w:rsidR="002659B0" w:rsidRDefault="00E74862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 xml:space="preserve">Начало исполнения контракта: </w:t>
            </w:r>
            <w:proofErr w:type="gramStart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 даты заключения</w:t>
            </w:r>
            <w:proofErr w:type="gramEnd"/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муниципального контракта.</w:t>
            </w:r>
          </w:p>
          <w:p w:rsidR="002659B0" w:rsidRDefault="00E74862">
            <w:pPr>
              <w:spacing w:beforeAutospacing="0" w:afterAutospacing="0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Срок окончания исполнения контракта: 23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.12.2026.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Начальная (максимальная) цена контракта (цена отдельных этапов исполнения контракта, если проектом контракта предусмотрены такие этапы)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114 000 (сто четырнадцать тысяч) рублей 00 копеек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Источник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финансирования</w:t>
            </w:r>
            <w:proofErr w:type="spellEnd"/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Бюджет города Югорска на 2026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 xml:space="preserve"> год (Муниципальная программа города Югорска «Развитие информационного общества»)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валюты в соответствии с общероссийским классификатором валют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6"/>
                <w:lang w:val="ru-RU" w:eastAsia="ru-RU"/>
              </w:rPr>
              <w:t>российский рубль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12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Размер аванса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предусмотрен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13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after="280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Требования, предъявляемые к участникам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закупки в соответствии с частью 1 статьи 31 Закона о контрактной системе</w:t>
            </w:r>
          </w:p>
          <w:p w:rsidR="002659B0" w:rsidRDefault="002659B0">
            <w:pPr>
              <w:spacing w:before="280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 должен соответствовать требованиям: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1) соответствие требованиям, установленным в соответствии с законодательством Российской Федерации к лицам, осуществляющим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поставку товара, выполнение работы, оказание услуги, которые являются объектом закупки;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2)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непроведение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ьного предпринимателя несостоятельным (банкротом) и об открытии конкурсного производства;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3)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неприостановление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деятельности участника закупки в порядке, установленном Кодексом об административных правонарушениях;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4) отсутствие у участника закупки недоимки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обязанности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заявителя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по уплате этих сумм исполненной или которые при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25 % балансовой стоимости активов участника закупки, по данным бухгалтерской отчётности за пос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 xml:space="preserve">об обжаловании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недоимки, задолженности и решение по такому заявлению на дату рассмотрения заяв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ки на участие в определении поставщика (подрядчика, исполнителя) не принято;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5) отсутствие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ана, или главного бухгалтера юридического лица – участника закупки судимости за преступления в сфере экономики и (или) преступления, предусмотренные статьями 289, 290, 291, 291.1 Уголовного кодекса (за исключением лиц, у которых такая судимость погашена ил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 снята), а также неприменение в отношении указанных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ся объектом осуществляемой закупки, и административного наказания в виде дисквалификации;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7) обладание участником закупки исключительными правами на результаты интеллектуальной деятельности, если в св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8) отсутствие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обстоятельств, при которых должностное лицо заказчика (руководитель заказчика, член комиссии по осуществлению закупок, руководитель контрактной службы заказчика, контрактный управляющий), его супруг (супруга), близкий родственник по прямой восходящей или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нисходящей линии (отец, мать, дедушка,  бабушка, сын, дочь,  внук,  внучка), полнородный или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неполнородный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(имеющий общих с должностным лицом заказчика отца или мать) брат (сестра), лицо, усыновлённое должностным лицом заказчика, либо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усыновитель этого дол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жностного лица заказчика является: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а) физическим лицом (в том числе зарегистрированным в качестве индивидуального предпринимателя), являющимся участником закупки;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б) руководителем, единоличным исполнительным органом, членом коллегиального исполнительного 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ргана, учредителем, членом коллегиального органа унитарной организации, являющейся участником закупки;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в) единоличным исполнительным органом, членом коллегиального исполнительного органа, членом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коллегиального органа управления, выгодоприобретателем корпор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ативного юридического лица, являющегося участником закупки.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Выгодоприобретателем для целей настоящего пункта является физическое лицо, которое владеет напрямую или косвенно (через юридическое лицо или через несколько юридических лиц) более чем десятью проц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ентами голосующих акций хозяйственного общества либо владеет напрямую или косвенно (через юридическое лицо или через несколько юридических лиц) долей, превышающей десять процентов в уставном (складочном) капитале хозяйственного товарищества или общества;</w:t>
            </w:r>
            <w:proofErr w:type="gramEnd"/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9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)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уставном (складочном)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капитале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хозяйственного товарищества ил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 общества;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10) участник закупки не является иностранным агентом;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11) отсутствие у участника закупки ограничений для участия в закупках, установленных законодательством Российской Федерации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14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 частями 2 и 2.1 (при наличии таких требований) статьи 31 Закона о контрактной системе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jc w:val="both"/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Не установлено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Перечень документов, которые подтверждают соответствие участника закупки требованиям, установленным в извещении о закупке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i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Установлено в соответствии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с Приложением 3 к извещению о проведении закупки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Требования, предъявляемые к участникам закупки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1.1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31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 (при наличии такого требования)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Отсутствие в реестре недобросовестных поставщиков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(подрядчиков, исполнителей) информации об участнике закупки, в том числе информации о лицах, информация о которых содержится в заявке на участие в закупке в соответствии с подпунктом «в» пункта 1 части 1 статьи 43 Закона о контрактной системе, если Правите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льством Российской Федерации не установлено иное.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Преимущества в соответствии со статьями 28 и 29 Закона о контрактной системе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Преимущества учреждениям и предприятиям уголовно-исполнительной системы: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Преимущества организациям инвали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дов: </w:t>
            </w:r>
            <w:r>
              <w:rPr>
                <w:rFonts w:ascii="PT Astra Serif" w:hAnsi="PT Astra Serif"/>
                <w:sz w:val="24"/>
                <w:lang w:val="ru-RU"/>
              </w:rPr>
              <w:t>не предоставляются.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Преимущества участия в определении поставщика (подрядчика, исполнителя) в соответствии с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30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lang w:val="ru-RU"/>
              </w:rPr>
              <w:t xml:space="preserve">Участниками закупки могут быть только субъекты малого предпринимательства и социально </w:t>
            </w:r>
            <w:r>
              <w:rPr>
                <w:rFonts w:ascii="PT Astra Serif" w:hAnsi="PT Astra Serif"/>
                <w:color w:val="000099"/>
                <w:sz w:val="24"/>
                <w:lang w:val="ru-RU"/>
              </w:rPr>
              <w:t>ориентированные некоммерческие организации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Требование, установленное в соответствии с частью 5 статьи 30 Закона о контрактной системе, с указанием в соответствии с частью 6 статьи 30 Закона о контрактной системе объёма привлечения к исполнению контракт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ов субподрядчиков, соисполнителей из числа субъектов малого предпринимательства, социально ориентированных некоммерческих организаций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Не у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становлено</w:t>
            </w:r>
            <w:proofErr w:type="spellEnd"/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Запрет или ограничение закупок товаров (в том числе поставляемых при выполнении закупаемых работ, оказа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нии закупаемых услуг), происходящих из иностранных государств, работ, услуг, соответственно выполняемых, оказываемых иностранными лицами, преимущество в отношении товаров российского происхождения (в том числе поставляемых при выполнении закупаемых работ,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соответствии с пунктом 1 части 2 статьи 14 Закона о контрактной системе в отношении т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овара (в том числе поставляемого при выполнении закупаемой работы, оказании закупаемой услуги), работы, услуги,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являющихся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объектом закупки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lastRenderedPageBreak/>
              <w:t>Не установлено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21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заявки на участие в закупке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заявки на участие в закупке установлен в размере 1% от начальной (максимальной) цены контракта, что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составляет 1 140 (одна тысяча сто сорок)  рублей 00 копеек.</w:t>
            </w:r>
          </w:p>
          <w:p w:rsidR="002659B0" w:rsidRDefault="00E74862">
            <w:pPr>
              <w:spacing w:beforeAutospacing="0" w:afterAutospacing="0"/>
              <w:ind w:firstLine="340"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Предприятия уголовно-исполнительной системы, организации инвалидов, предусмот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ренные частью 2 статьи 29 Закона о контрактной системе, предоставляют обеспечение заявки на участие в закупке в размере 1/2 процента начальной (максимальной) цены контракта. Государственные, муниципальные учреждения не предоставляют обеспечение подаваемых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ими заявок на участие в закупках.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внесения денежных 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к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ачестве обеспечения заявок на участие в закупке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Обеспечение заявки на участие в закупке предоставляется в размере, указанном в предыдущем пункте одним из следующих способов:</w:t>
            </w:r>
          </w:p>
          <w:p w:rsidR="002659B0" w:rsidRDefault="00E74862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путё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м блокирования денежных средств на банковском счёте, открытом таким участником в банке, включённом в перечень, утверждённый Правительством Российской Федерации;</w:t>
            </w:r>
          </w:p>
          <w:p w:rsidR="002659B0" w:rsidRDefault="00E74862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путём предоставления независимой гарантии, соответствующей требованиям статьи 45 Закона о ко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нтрактной системе.</w:t>
            </w:r>
          </w:p>
          <w:p w:rsidR="002659B0" w:rsidRDefault="00E74862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Выбор способа обеспечения осуществляется участником закупки самостоятельно. Срок действия независимой гарантии должен составлять не менее месяца 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 даты окончания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срока подачи заявок.</w:t>
            </w:r>
          </w:p>
          <w:p w:rsidR="002659B0" w:rsidRDefault="00E74862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Предприятия уголовно-исполнительной системы, организац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ии инвалидов, предусмотренные частью 2 статьи 29 Закона о контрактной системе, предоставляют обеспечение заявки на участие в закупке в размере одной второй процента начальной (максимальной) цены контракта.</w:t>
            </w:r>
          </w:p>
          <w:p w:rsidR="002659B0" w:rsidRDefault="00E74862">
            <w:pPr>
              <w:spacing w:beforeAutospacing="0" w:afterAutospacing="0"/>
              <w:ind w:firstLine="352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Государственные, муниципальные учреждения не предо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ставляют обеспечение подаваемых ими заявок на участие в закупках.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Условия независимой гарантии (если требование обеспечения заявки установлено в соответствии со статьёй 44 Закона о контрактной системе)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Независимая гарантия должна соответствовать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требованиям статьи 45 Закона о контрактной системе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24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Наименование заказчика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: Администрация города Югорска</w:t>
            </w:r>
          </w:p>
          <w:p w:rsidR="002659B0" w:rsidRPr="001924A9" w:rsidRDefault="00E74862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Получ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атель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Югорска (Администрация города Югорска, 04873030170), ИНН 8622002368, КПП 862201001.</w:t>
            </w:r>
          </w:p>
          <w:p w:rsidR="002659B0" w:rsidRPr="001924A9" w:rsidRDefault="00E74862">
            <w:pPr>
              <w:spacing w:beforeAutospacing="0" w:afterAutospacing="0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 ОКЦ №8 УГУ Банка России//УФК по Ханты-Мансийскому автономному округу-Югре г. Ханты-Мансийск,  БИК 007162163,  счет 40102810245370000007,</w:t>
            </w:r>
          </w:p>
          <w:p w:rsidR="002659B0" w:rsidRDefault="00E74862">
            <w:pPr>
              <w:spacing w:beforeAutospacing="0" w:afterAutospacing="0"/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казначейский сч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ет получателя 03100643000000018700,</w:t>
            </w:r>
          </w:p>
          <w:p w:rsidR="002659B0" w:rsidRDefault="00E74862">
            <w:pPr>
              <w:spacing w:beforeAutospacing="0" w:afterAutospacing="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КБК 040 11610061040000140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25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Реквизиты счета для перечисления денежных сре</w:t>
            </w: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дств в сл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учае, предусмотренном частью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13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статьи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44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</w:rPr>
              <w:t>Закона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 контрактной системе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Pr="001924A9" w:rsidRDefault="00E7486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1924A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Наименование заказчика: Администрация города Югорска</w:t>
            </w:r>
          </w:p>
          <w:p w:rsidR="002659B0" w:rsidRPr="001924A9" w:rsidRDefault="00E74862">
            <w:pPr>
              <w:spacing w:before="280"/>
              <w:jc w:val="both"/>
              <w:rPr>
                <w:lang w:val="ru-RU"/>
              </w:rPr>
            </w:pPr>
            <w:r w:rsidRPr="001924A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 w:rsidRPr="001924A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 w:rsidRPr="001924A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Югорска (Администрация города Югорска, 04873030170), ИНН 8622002368, КПП 862201001.</w:t>
            </w:r>
          </w:p>
          <w:p w:rsidR="002659B0" w:rsidRPr="001924A9" w:rsidRDefault="00E74862">
            <w:pPr>
              <w:spacing w:before="280"/>
              <w:jc w:val="both"/>
              <w:rPr>
                <w:lang w:val="ru-RU"/>
              </w:rPr>
            </w:pPr>
            <w:r w:rsidRPr="001924A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Банк: ОКЦ №8 УГУ Банка России //УФК по Ханты-Мансийскому автономному округу-Югре г. Ханты-Мансийск,  БИК 007162163,  счет 40102810245370000007, казначейский счет </w:t>
            </w:r>
            <w:r w:rsidRPr="001924A9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получателя 03100643000000018700, КБК 040 11610061040000140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Размер обеспечения исполнения контракта, гарантийных обязательств</w:t>
            </w:r>
          </w:p>
          <w:p w:rsidR="002659B0" w:rsidRDefault="002659B0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99"/>
                <w:sz w:val="24"/>
                <w:lang w:val="ru-RU" w:eastAsia="ru-RU"/>
              </w:rPr>
            </w:pPr>
            <w:r>
              <w:rPr>
                <w:rFonts w:ascii="PT Astra Serif" w:hAnsi="PT Astra Serif"/>
                <w:color w:val="000000"/>
                <w:sz w:val="24"/>
                <w:lang w:val="ru-RU"/>
              </w:rPr>
              <w:t xml:space="preserve">Размер обеспечения исполнения контракта 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составляет 5% от цены, по которой в соответствии с Законом о контрактной системе, буде</w:t>
            </w:r>
            <w:r>
              <w:rPr>
                <w:rFonts w:ascii="PT Astra Serif" w:hAnsi="PT Astra Serif"/>
                <w:color w:val="000099"/>
                <w:sz w:val="24"/>
                <w:lang w:val="ru-RU" w:eastAsia="ru-RU"/>
              </w:rPr>
              <w:t>т заключён контракт.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Если участник закупки, с которым заключается контракт, предложил цену контракта, которая на 25 и более процентов ниже начальной (максимальной) цены контракта, либо предложена сумма цен единиц товара, работы, услуги, которая на 25 и бол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ее процентов ниже начальной суммы цен указанных единиц, контракт заключается только после предоставления таким участником обеспечения исполнения контракта в размере, указанном в части 1 статьи 37 Закона</w:t>
            </w:r>
            <w:proofErr w:type="gram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о контрактной системе, или информации, подтверждающей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добросовестность такого участника в соответствии с частью 3 статьи 37 Закона о контрактной системе, с одновременным предоставлением таким участником обеспечения исполнения контракта в размере обеспечения исполнения контракта, указанном в извещении об осущ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ествлении закупки.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Размер обеспечения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гарантийных обязательств: не предусмотрено.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Порядок предоставления обеспечения исполнения контракта, гарантийных обязательств, требования к обеспечению исполнения контракта, гарантийных обязательств (если требовани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е обеспечения исполнения контракта, гарантийных обязательств установлено в соответствии со статьёй 96 Закона о контрактной системе)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закупки, с которым заключается контракт, может предоставить обеспечение исполнения контракта, гарантийных обязатель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ств любым из двух способов: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внесение денежных средств на счёт заказчика, на котором в соответствии с законодательством Российской Федерации учитываются операции со средствами, поступающими заказчику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Наименование заказчика: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Администрация города Югорска</w:t>
            </w:r>
          </w:p>
          <w:p w:rsidR="002659B0" w:rsidRPr="001924A9" w:rsidRDefault="00E74862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 xml:space="preserve">Получатель: </w:t>
            </w:r>
            <w:proofErr w:type="spell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Депфин</w:t>
            </w:r>
            <w:proofErr w:type="spellEnd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Югорска (Администрация города Югорска, 070190000), ИНН 8622002368, КПП 862201001.</w:t>
            </w:r>
          </w:p>
          <w:p w:rsidR="002659B0" w:rsidRPr="001924A9" w:rsidRDefault="00E74862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Банк:</w:t>
            </w:r>
          </w:p>
          <w:p w:rsidR="002659B0" w:rsidRPr="001924A9" w:rsidRDefault="00E74862">
            <w:pPr>
              <w:spacing w:beforeAutospacing="0" w:afterAutospacing="0"/>
              <w:jc w:val="both"/>
              <w:rPr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ОКЦ №8 УГУ Банка России //УФК по Ханты-Мансийскому автономному округу-Югре г. Ханты-Мансийск,  БИК 007162163, счет 40102810245370000007, казначейский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счет получателя 03232643718870008700, КБК 0.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  <w:lang w:val="ru-RU"/>
              </w:rPr>
              <w:t>Назначение платежа: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«ИКЗ ___________________ //  Обеспечение исполнения муниципального контракта № ___________ 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на оказание услуг по получению обновлений и техническому сопровождению используемого программного о</w:t>
            </w:r>
            <w:r>
              <w:rPr>
                <w:rFonts w:ascii="PT Astra Serif" w:hAnsi="PT Astra Serif"/>
                <w:color w:val="000099"/>
                <w:sz w:val="24"/>
                <w:szCs w:val="24"/>
                <w:lang w:val="ru-RU"/>
              </w:rPr>
              <w:t>беспечения «КИТ-Журнал».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Факт внесения денежных средств на счёт заказчика подтверждается платёжным документом, на основании которого произведено перечисление средств;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предоставление независимой гарантии, соответствующей требованиям статьи 45 Закона о ко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нтрактной системе.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        Способ обеспечения исполнения контракта, срок действия независимой гарантии определяются участником закупки самостоятельно. При этом срок действия независимой гарантии должен превышать предусмотренный контрактом срок исполнения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обязательств, которые должны быть обеспечены такой независимой гарантией, не менее чем на один месяц, в том числе в случае его изменения в соответствии со статьёй 95 Закона о контрактной системе.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Контракт заключается после предоставления участником закупки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, обеспечения исполнения контракта в соответствии с Законом о контрактной системе.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Положения настоящего извещения об обеспечении исполнения контракта, включая положения о предоставлении такого обеспечения с учётом положений статьи 37 Закона о контрактной 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истеме, не применяются в случае: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1) заключения контракта с участником закупки, который является казённым учреждением;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2) осуществления закупки услуги по предоставлению кредита;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3) заключения бюджетным учреждением, государственным, муниципальным унитарными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предприятиями контракта, предметом которого является выдача независимой гарантии.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Участник закупки, с которым заключается контракт по результатам определения поставщика (подрядчика, исполнителя) у СМП, СОНКО, освобождается от предоставления обеспечения исп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олнения контракта, в соответствии с частью 8.1 статьи 96 Закона о контрактной системе. В ходе исполнения контракта поставщик (подрядчик, исполнитель) вправе изменить способ обеспечения исполнения контракта и (или) предоставить заказчику взамен ранее предос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тавленного обеспечения исполнения контракта, новое обеспечение исполнения контракта, в соответствии с частью 7 статьи 96 Закона о контрактной системе.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lastRenderedPageBreak/>
              <w:t>28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Информация о банковском сопровождении контракта в соответствии со статьёй 35 Закона о контрактной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системе, о казначейском сопровождении (если в соответствии с законодательством Российской Федерации расчёты по контракту или расчёты по контракту в части выплаты аванса подлежат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казначейскому сопровождению)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lastRenderedPageBreak/>
              <w:t>Не установлено</w:t>
            </w: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Информация о возможности заказ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чика заключить контракты, указанные в части 10 статьи 34 Закона о контрактной системе, с несколькими участниками закупки с указанием количества указанных контрактов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lang w:val="ru-RU"/>
              </w:rPr>
            </w:pPr>
            <w:r>
              <w:rPr>
                <w:rFonts w:ascii="PT Astra Serif" w:hAnsi="PT Astra Serif"/>
                <w:sz w:val="24"/>
                <w:lang w:val="ru-RU"/>
              </w:rPr>
              <w:t>Не установлено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30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after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Информация о возможности одностороннего отказа от исполнения контракта в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соответствии со статьёй 95 Закона о контрактной системе</w:t>
            </w:r>
          </w:p>
          <w:p w:rsidR="002659B0" w:rsidRDefault="002659B0">
            <w:pPr>
              <w:spacing w:before="280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ьных видов обязательств, при условии, если это было предусмотрено контрактом.</w:t>
            </w:r>
          </w:p>
          <w:p w:rsidR="002659B0" w:rsidRDefault="00E74862">
            <w:pPr>
              <w:spacing w:beforeAutospacing="0" w:afterAutospacing="0"/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Поставщик (подрядчик, исполнитель) вправе принять решение об одностороннем отказе от исполнения контракта по основаниям, предусмотренным Гражданским кодексом Российской Федерации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для одностороннего отказа от исполнения отдельных видов обязательств, если в контракте было предусмотрено право заказчика принять решение об одностороннем отказе от исполнения контракта.</w:t>
            </w:r>
          </w:p>
        </w:tc>
      </w:tr>
      <w:tr w:rsidR="002659B0" w:rsidRPr="00E74862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и время окончания срока подачи заявок на участие в закупке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after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до 10 часов 00 минут «_25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_»_сентября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______2026 г.</w:t>
            </w:r>
          </w:p>
          <w:p w:rsidR="002659B0" w:rsidRDefault="002659B0">
            <w:pPr>
              <w:spacing w:before="28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проведения процедуры подачи предложений о цене контракта либо о сумме цен единиц товара, работы, услуги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«__25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__»_сентября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_____2026 г.</w:t>
            </w:r>
          </w:p>
          <w:p w:rsidR="002659B0" w:rsidRDefault="002659B0">
            <w:pPr>
              <w:spacing w:beforeAutospacing="0" w:afterAutospacing="0"/>
              <w:ind w:left="75" w:right="75"/>
              <w:rPr>
                <w:rFonts w:ascii="PT Astra Serif" w:hAnsi="PT Astra Serif"/>
                <w:i/>
                <w:color w:val="000000"/>
                <w:sz w:val="24"/>
                <w:szCs w:val="24"/>
                <w:lang w:val="ru-RU"/>
              </w:rPr>
            </w:pPr>
          </w:p>
        </w:tc>
      </w:tr>
      <w:tr w:rsidR="002659B0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ind w:left="75" w:right="75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«_29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__»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___сентября</w:t>
            </w:r>
            <w:bookmarkStart w:id="0" w:name="_GoBack"/>
            <w:bookmarkEnd w:id="0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_____2026 г.</w:t>
            </w:r>
          </w:p>
        </w:tc>
      </w:tr>
      <w:tr w:rsidR="002659B0" w:rsidRPr="001924A9">
        <w:tc>
          <w:tcPr>
            <w:tcW w:w="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659B0" w:rsidRDefault="00E7486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3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Предупреждение об административной и уголовной ответственности за нарушение требований антимонопольного законодательства</w:t>
            </w:r>
          </w:p>
        </w:tc>
        <w:tc>
          <w:tcPr>
            <w:tcW w:w="6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659B0" w:rsidRDefault="00E74862">
            <w:pPr>
              <w:spacing w:beforeAutospacing="0" w:afterAutospacing="0"/>
              <w:ind w:left="74" w:right="74"/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Предупреждаем об административной и уголовной ответственности за нарушение требований антимонопольного </w:t>
            </w:r>
            <w: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законодательства Российской Федерации о запрете участия в ограничивающих конкуренцию соглашениях, осуществления ограничивающих конкуренцию согласованных действий.</w:t>
            </w:r>
            <w:proofErr w:type="gramEnd"/>
          </w:p>
        </w:tc>
      </w:tr>
    </w:tbl>
    <w:p w:rsidR="002659B0" w:rsidRDefault="002659B0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</w:p>
    <w:p w:rsidR="002659B0" w:rsidRDefault="00E74862">
      <w:pPr>
        <w:spacing w:beforeAutospacing="0" w:after="120" w:afterAutospacing="0"/>
        <w:jc w:val="both"/>
        <w:rPr>
          <w:rFonts w:ascii="PT Astra Serif" w:hAnsi="PT Astra Serif"/>
          <w:b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Приложения:</w:t>
      </w:r>
    </w:p>
    <w:p w:rsidR="002659B0" w:rsidRDefault="00E74862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1. Описание объекта закупки.</w:t>
      </w:r>
    </w:p>
    <w:p w:rsidR="002659B0" w:rsidRDefault="00E74862">
      <w:pPr>
        <w:spacing w:beforeAutospacing="0" w:after="120" w:afterAutospacing="0"/>
        <w:jc w:val="both"/>
        <w:rPr>
          <w:rFonts w:ascii="PT Astra Serif" w:hAnsi="PT Astra Serif"/>
          <w:bCs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 xml:space="preserve">Приложение 2. Обоснование начальной </w:t>
      </w: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(максимальной) цены контракта.</w:t>
      </w:r>
    </w:p>
    <w:p w:rsidR="002659B0" w:rsidRDefault="00E74862">
      <w:pPr>
        <w:spacing w:beforeAutospacing="0" w:after="120" w:afterAutospacing="0"/>
        <w:ind w:right="-754"/>
        <w:jc w:val="both"/>
        <w:rPr>
          <w:rFonts w:ascii="PT Astra Serif" w:hAnsi="PT Astra Serif"/>
          <w:color w:val="000000"/>
          <w:sz w:val="24"/>
          <w:szCs w:val="24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lastRenderedPageBreak/>
        <w:t>Приложение 3. Требования к содержанию, составу заявки на участие в закупке в соответствии с Законом о контрактной системе и инструкция по её заполнению.</w:t>
      </w:r>
    </w:p>
    <w:p w:rsidR="002659B0" w:rsidRDefault="00E74862">
      <w:pPr>
        <w:spacing w:beforeAutospacing="0" w:after="120" w:afterAutospacing="0"/>
        <w:jc w:val="both"/>
        <w:rPr>
          <w:rFonts w:ascii="PT Astra Serif" w:hAnsi="PT Astra Serif"/>
          <w:lang w:val="ru-RU"/>
        </w:rPr>
      </w:pPr>
      <w:r>
        <w:rPr>
          <w:rFonts w:ascii="PT Astra Serif" w:hAnsi="PT Astra Serif"/>
          <w:bCs/>
          <w:color w:val="000000"/>
          <w:sz w:val="24"/>
          <w:szCs w:val="24"/>
          <w:lang w:val="ru-RU"/>
        </w:rPr>
        <w:t>Приложение 4. Проект муниципального контракта.</w:t>
      </w:r>
    </w:p>
    <w:sectPr w:rsidR="002659B0">
      <w:footerReference w:type="even" r:id="rId8"/>
      <w:footerReference w:type="default" r:id="rId9"/>
      <w:footerReference w:type="first" r:id="rId10"/>
      <w:pgSz w:w="11906" w:h="16838"/>
      <w:pgMar w:top="567" w:right="1440" w:bottom="1440" w:left="1440" w:header="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74862">
      <w:r>
        <w:separator/>
      </w:r>
    </w:p>
  </w:endnote>
  <w:endnote w:type="continuationSeparator" w:id="0">
    <w:p w:rsidR="00000000" w:rsidRDefault="00E7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PT Astra Serif">
    <w:panose1 w:val="020A0603040505020204"/>
    <w:charset w:val="01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9B0" w:rsidRDefault="002659B0">
    <w:pPr>
      <w:pStyle w:val="af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9B0" w:rsidRDefault="00E74862">
    <w:pPr>
      <w:pStyle w:val="afe"/>
      <w:spacing w:after="280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10</w:t>
    </w:r>
    <w:r>
      <w:fldChar w:fldCharType="end"/>
    </w:r>
  </w:p>
  <w:p w:rsidR="002659B0" w:rsidRDefault="002659B0">
    <w:pPr>
      <w:pStyle w:val="afe"/>
      <w:spacing w:after="28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9B0" w:rsidRDefault="002659B0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74862">
      <w:r>
        <w:separator/>
      </w:r>
    </w:p>
  </w:footnote>
  <w:footnote w:type="continuationSeparator" w:id="0">
    <w:p w:rsidR="00000000" w:rsidRDefault="00E748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9B0"/>
    <w:rsid w:val="001924A9"/>
    <w:rsid w:val="002659B0"/>
    <w:rsid w:val="00E7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ad">
    <w:name w:val="Символ сноски"/>
    <w:basedOn w:val="a0"/>
    <w:uiPriority w:val="99"/>
    <w:unhideWhenUsed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af1">
    <w:name w:val="Символ концевой сноски"/>
    <w:basedOn w:val="a0"/>
    <w:uiPriority w:val="99"/>
    <w:semiHidden/>
    <w:unhideWhenUsed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aff"/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aff7">
    <w:name w:val="Колонтитулы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aff8">
    <w:name w:val="Без списка"/>
    <w:uiPriority w:val="99"/>
    <w:semiHidden/>
    <w:unhideWhenUsed/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Autospacing="1" w:afterAutospacing="1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9">
    <w:name w:val="Название объекта Знак"/>
    <w:basedOn w:val="a0"/>
    <w:link w:val="aa"/>
    <w:uiPriority w:val="35"/>
    <w:rPr>
      <w:b/>
      <w:bCs/>
      <w:color w:val="5B9BD5" w:themeColor="accent1"/>
      <w:sz w:val="18"/>
      <w:szCs w:val="18"/>
    </w:rPr>
  </w:style>
  <w:style w:type="character" w:customStyle="1" w:styleId="ab">
    <w:name w:val="Текст сноски Знак"/>
    <w:link w:val="ac"/>
    <w:uiPriority w:val="99"/>
    <w:rPr>
      <w:sz w:val="18"/>
    </w:rPr>
  </w:style>
  <w:style w:type="character" w:customStyle="1" w:styleId="ad">
    <w:name w:val="Символ сноски"/>
    <w:basedOn w:val="a0"/>
    <w:uiPriority w:val="99"/>
    <w:unhideWhenUsed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rPr>
      <w:sz w:val="20"/>
    </w:rPr>
  </w:style>
  <w:style w:type="character" w:customStyle="1" w:styleId="af1">
    <w:name w:val="Символ концевой сноски"/>
    <w:basedOn w:val="a0"/>
    <w:uiPriority w:val="99"/>
    <w:semiHidden/>
    <w:unhideWhenUsed/>
    <w:rPr>
      <w:vertAlign w:val="superscript"/>
    </w:rPr>
  </w:style>
  <w:style w:type="character" w:styleId="af2">
    <w:name w:val="endnote reference"/>
    <w:rPr>
      <w:vertAlign w:val="superscript"/>
    </w:rPr>
  </w:style>
  <w:style w:type="character" w:styleId="af3">
    <w:name w:val="Hyperlink"/>
    <w:uiPriority w:val="99"/>
    <w:unhideWhenUsed/>
    <w:rPr>
      <w:color w:val="0000FF"/>
      <w:u w:val="single"/>
    </w:rPr>
  </w:style>
  <w:style w:type="character" w:styleId="af4">
    <w:name w:val="annotation reference"/>
    <w:uiPriority w:val="99"/>
    <w:semiHidden/>
    <w:unhideWhenUsed/>
    <w:rPr>
      <w:sz w:val="16"/>
      <w:szCs w:val="16"/>
    </w:rPr>
  </w:style>
  <w:style w:type="character" w:customStyle="1" w:styleId="af5">
    <w:name w:val="Текст примечания Знак"/>
    <w:link w:val="af6"/>
    <w:uiPriority w:val="99"/>
    <w:semiHidden/>
    <w:rPr>
      <w:rFonts w:ascii="Times New Roman" w:eastAsia="Times New Roman" w:hAnsi="Times New Roman"/>
      <w:lang w:val="en-US" w:eastAsia="en-US"/>
    </w:rPr>
  </w:style>
  <w:style w:type="character" w:customStyle="1" w:styleId="af7">
    <w:name w:val="Тема примечания Знак"/>
    <w:link w:val="af8"/>
    <w:uiPriority w:val="99"/>
    <w:semiHidden/>
    <w:rPr>
      <w:rFonts w:ascii="Times New Roman" w:eastAsia="Times New Roman" w:hAnsi="Times New Roman"/>
      <w:b/>
      <w:bCs/>
      <w:lang w:val="en-US" w:eastAsia="en-US"/>
    </w:rPr>
  </w:style>
  <w:style w:type="character" w:customStyle="1" w:styleId="af9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afb">
    <w:name w:val="Верхний колонтитул Знак"/>
    <w:basedOn w:val="a0"/>
    <w:link w:val="afc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d">
    <w:name w:val="Нижний колонтитул Знак"/>
    <w:basedOn w:val="a0"/>
    <w:link w:val="afe"/>
    <w:uiPriority w:val="99"/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aff">
    <w:name w:val="Заголовок"/>
    <w:basedOn w:val="a"/>
    <w:next w:val="aff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f0">
    <w:name w:val="Body Text"/>
    <w:basedOn w:val="a"/>
    <w:pPr>
      <w:spacing w:after="140" w:line="276" w:lineRule="auto"/>
    </w:pPr>
  </w:style>
  <w:style w:type="paragraph" w:styleId="aff1">
    <w:name w:val="List"/>
    <w:basedOn w:val="aff0"/>
    <w:rPr>
      <w:rFonts w:cs="Lucida Sans"/>
    </w:rPr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f2">
    <w:name w:val="index heading"/>
    <w:basedOn w:val="aff"/>
  </w:style>
  <w:style w:type="paragraph" w:styleId="aff3">
    <w:name w:val="List Paragraph"/>
    <w:basedOn w:val="a"/>
    <w:uiPriority w:val="34"/>
    <w:qFormat/>
    <w:pPr>
      <w:ind w:left="720"/>
      <w:contextualSpacing/>
    </w:pPr>
  </w:style>
  <w:style w:type="paragraph" w:styleId="aff4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c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5">
    <w:name w:val="TOC Heading"/>
    <w:uiPriority w:val="39"/>
    <w:unhideWhenUsed/>
  </w:style>
  <w:style w:type="paragraph" w:styleId="aff6">
    <w:name w:val="table of figures"/>
    <w:basedOn w:val="a"/>
    <w:next w:val="a"/>
    <w:uiPriority w:val="99"/>
    <w:unhideWhenUsed/>
    <w:pPr>
      <w:spacing w:afterAutospacing="0"/>
    </w:pPr>
  </w:style>
  <w:style w:type="paragraph" w:styleId="af6">
    <w:name w:val="annotation text"/>
    <w:basedOn w:val="a"/>
    <w:link w:val="af5"/>
    <w:uiPriority w:val="99"/>
    <w:semiHidden/>
    <w:unhideWhenUsed/>
    <w:rPr>
      <w:sz w:val="20"/>
      <w:szCs w:val="20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Pr>
      <w:b/>
      <w:bCs/>
    </w:rPr>
  </w:style>
  <w:style w:type="paragraph" w:styleId="afa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paragraph" w:customStyle="1" w:styleId="12">
    <w:name w:val="Обычный1"/>
    <w:qFormat/>
    <w:pPr>
      <w:widowControl w:val="0"/>
      <w:tabs>
        <w:tab w:val="left" w:pos="709"/>
      </w:tabs>
      <w:spacing w:after="200" w:line="276" w:lineRule="auto"/>
    </w:pPr>
    <w:rPr>
      <w:rFonts w:ascii="Liberation Serif" w:eastAsia="Times New Roman" w:hAnsi="Liberation Serif"/>
      <w:color w:val="00000A"/>
      <w:sz w:val="24"/>
    </w:rPr>
  </w:style>
  <w:style w:type="paragraph" w:customStyle="1" w:styleId="aff7">
    <w:name w:val="Колонтитулы"/>
    <w:basedOn w:val="a"/>
  </w:style>
  <w:style w:type="paragraph" w:styleId="afc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numbering" w:customStyle="1" w:styleId="aff8">
    <w:name w:val="Без списка"/>
    <w:uiPriority w:val="99"/>
    <w:semiHidden/>
    <w:unhideWhenUsed/>
  </w:style>
  <w:style w:type="table" w:styleId="aff9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Ind w:w="0" w:type="nil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nil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nil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nil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B9BD5" w:themeColor="accent1"/>
        <w:bottom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5B9BD5" w:themeColor="accent1"/>
      </w:tblBorders>
      <w:tblCellMar>
        <w:left w:w="0" w:type="dxa"/>
        <w:right w:w="0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8DA9DB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nil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nil"/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nil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nil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nil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nil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nil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73F33-10FE-4592-AD03-CC16912B0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3105</Words>
  <Characters>17705</Characters>
  <Application>Microsoft Office Word</Application>
  <DocSecurity>0</DocSecurity>
  <Lines>147</Lines>
  <Paragraphs>41</Paragraphs>
  <ScaleCrop>false</ScaleCrop>
  <Company/>
  <LinksUpToDate>false</LinksUpToDate>
  <CharactersWithSpaces>20769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Борисовна</dc:creator>
  <dc:description/>
  <cp:lastModifiedBy>Абдуллаева Ольга Сергеевна</cp:lastModifiedBy>
  <cp:revision>171</cp:revision>
  <dcterms:created xsi:type="dcterms:W3CDTF">2022-01-26T11:11:00Z</dcterms:created>
  <dcterms:modified xsi:type="dcterms:W3CDTF">2026-09-17T04:23:00Z</dcterms:modified>
  <dc:language>ru-RU</dc:language>
</cp:coreProperties>
</file>